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196" w:rsidRPr="002B5196" w:rsidRDefault="002B5196" w:rsidP="00D91CD0">
      <w:pPr>
        <w:spacing w:line="480" w:lineRule="auto"/>
        <w:jc w:val="center"/>
        <w:rPr>
          <w:rFonts w:ascii="Arial" w:hAnsi="Arial" w:cs="Arial"/>
          <w:b/>
          <w:bCs/>
          <w:sz w:val="24"/>
          <w:szCs w:val="24"/>
        </w:rPr>
      </w:pPr>
      <w:r w:rsidRPr="002B5196">
        <w:rPr>
          <w:rFonts w:ascii="Arial" w:hAnsi="Arial" w:cs="Arial"/>
          <w:b/>
          <w:bCs/>
          <w:sz w:val="24"/>
          <w:szCs w:val="24"/>
        </w:rPr>
        <w:t>Summary of Case</w:t>
      </w:r>
    </w:p>
    <w:p w:rsidR="00D91CD0" w:rsidRPr="002B5196" w:rsidRDefault="00D91CD0" w:rsidP="00D91CD0">
      <w:pPr>
        <w:spacing w:line="480" w:lineRule="auto"/>
        <w:jc w:val="center"/>
        <w:rPr>
          <w:rFonts w:ascii="Arial" w:hAnsi="Arial" w:cs="Arial"/>
          <w:b/>
          <w:bCs/>
          <w:sz w:val="24"/>
          <w:szCs w:val="24"/>
        </w:rPr>
      </w:pPr>
      <w:r w:rsidRPr="002B5196">
        <w:rPr>
          <w:rFonts w:ascii="Arial" w:hAnsi="Arial" w:cs="Arial"/>
          <w:b/>
          <w:bCs/>
          <w:sz w:val="24"/>
          <w:szCs w:val="24"/>
        </w:rPr>
        <w:t>e easy travel (and device) Service Mark</w:t>
      </w:r>
    </w:p>
    <w:p w:rsidR="003361D9" w:rsidRPr="002B5196" w:rsidRDefault="003361D9" w:rsidP="003361D9">
      <w:pPr>
        <w:spacing w:line="480" w:lineRule="auto"/>
        <w:jc w:val="both"/>
        <w:rPr>
          <w:rFonts w:ascii="Arial" w:hAnsi="Arial" w:cs="Arial"/>
          <w:b/>
          <w:bCs/>
          <w:sz w:val="24"/>
          <w:szCs w:val="24"/>
        </w:rPr>
      </w:pPr>
      <w:r w:rsidRPr="002B5196">
        <w:rPr>
          <w:rFonts w:ascii="Arial" w:hAnsi="Arial" w:cs="Arial"/>
          <w:b/>
          <w:bCs/>
          <w:sz w:val="24"/>
          <w:szCs w:val="24"/>
        </w:rPr>
        <w:t>Service Mark N</w:t>
      </w:r>
      <w:r w:rsidR="002B5196" w:rsidRPr="002B5196">
        <w:rPr>
          <w:rFonts w:ascii="Arial" w:hAnsi="Arial" w:cs="Arial"/>
          <w:b/>
          <w:bCs/>
          <w:sz w:val="24"/>
          <w:szCs w:val="24"/>
        </w:rPr>
        <w:t>o</w:t>
      </w:r>
      <w:r w:rsidRPr="002B5196">
        <w:rPr>
          <w:rFonts w:ascii="Arial" w:hAnsi="Arial" w:cs="Arial"/>
          <w:b/>
          <w:bCs/>
          <w:sz w:val="24"/>
          <w:szCs w:val="24"/>
        </w:rPr>
        <w:t xml:space="preserve">. TZ/S/2017/509 e easy travel (and device) </w:t>
      </w:r>
      <w:r w:rsidR="00015F75" w:rsidRPr="002B5196">
        <w:rPr>
          <w:rFonts w:ascii="Arial" w:hAnsi="Arial" w:cs="Arial"/>
          <w:b/>
          <w:bCs/>
          <w:sz w:val="24"/>
          <w:szCs w:val="24"/>
        </w:rPr>
        <w:t>-</w:t>
      </w:r>
      <w:r w:rsidR="002B5196" w:rsidRPr="002B5196">
        <w:rPr>
          <w:rFonts w:ascii="Arial" w:hAnsi="Arial" w:cs="Arial"/>
          <w:b/>
          <w:bCs/>
          <w:sz w:val="24"/>
          <w:szCs w:val="24"/>
        </w:rPr>
        <w:t xml:space="preserve"> </w:t>
      </w:r>
      <w:r w:rsidRPr="002B5196">
        <w:rPr>
          <w:rFonts w:ascii="Arial" w:hAnsi="Arial" w:cs="Arial"/>
          <w:b/>
          <w:bCs/>
          <w:sz w:val="24"/>
          <w:szCs w:val="24"/>
        </w:rPr>
        <w:t>IN CLASS 39</w:t>
      </w:r>
      <w:r w:rsidR="00015F75" w:rsidRPr="002B5196">
        <w:rPr>
          <w:rFonts w:ascii="Arial" w:hAnsi="Arial" w:cs="Arial"/>
          <w:b/>
          <w:bCs/>
          <w:sz w:val="24"/>
          <w:szCs w:val="24"/>
        </w:rPr>
        <w:t xml:space="preserve"> -</w:t>
      </w:r>
      <w:r w:rsidRPr="002B5196">
        <w:rPr>
          <w:rFonts w:ascii="Arial" w:hAnsi="Arial" w:cs="Arial"/>
          <w:b/>
          <w:bCs/>
          <w:sz w:val="24"/>
          <w:szCs w:val="24"/>
        </w:rPr>
        <w:t xml:space="preserve"> In the Name of Easy Travel and Tours Limited and Opposition Thereto by Enterprise Holdings Inc.</w:t>
      </w:r>
    </w:p>
    <w:p w:rsidR="005F4572" w:rsidRPr="002B5196" w:rsidRDefault="005F4572" w:rsidP="00704AC4">
      <w:pPr>
        <w:spacing w:line="480" w:lineRule="auto"/>
        <w:jc w:val="both"/>
        <w:rPr>
          <w:rFonts w:ascii="Arial" w:hAnsi="Arial" w:cs="Arial"/>
          <w:sz w:val="24"/>
          <w:szCs w:val="24"/>
        </w:rPr>
      </w:pPr>
      <w:r w:rsidRPr="002B5196">
        <w:rPr>
          <w:rFonts w:ascii="Segoe UI" w:hAnsi="Segoe UI" w:cs="Segoe UI"/>
          <w:i/>
          <w:sz w:val="24"/>
          <w:szCs w:val="24"/>
          <w:shd w:val="clear" w:color="auto" w:fill="FFFFFF"/>
        </w:rPr>
        <w:t>The possibility of confusion is presumable where the marks resemble, however</w:t>
      </w:r>
      <w:r w:rsidR="002B5196">
        <w:rPr>
          <w:rFonts w:ascii="Segoe UI" w:hAnsi="Segoe UI" w:cs="Segoe UI"/>
          <w:i/>
          <w:sz w:val="24"/>
          <w:szCs w:val="24"/>
          <w:shd w:val="clear" w:color="auto" w:fill="FFFFFF"/>
        </w:rPr>
        <w:t>,</w:t>
      </w:r>
      <w:r w:rsidRPr="002B5196">
        <w:rPr>
          <w:rFonts w:ascii="Segoe UI" w:hAnsi="Segoe UI" w:cs="Segoe UI"/>
          <w:sz w:val="24"/>
          <w:szCs w:val="24"/>
          <w:shd w:val="clear" w:color="auto" w:fill="FFFFFF"/>
        </w:rPr>
        <w:t xml:space="preserve"> </w:t>
      </w:r>
      <w:r w:rsidRPr="002B5196">
        <w:rPr>
          <w:rFonts w:ascii="Segoe UI" w:hAnsi="Segoe UI" w:cs="Segoe UI"/>
          <w:i/>
          <w:sz w:val="24"/>
          <w:szCs w:val="24"/>
          <w:shd w:val="clear" w:color="auto" w:fill="FFFFFF"/>
        </w:rPr>
        <w:t>if there</w:t>
      </w:r>
      <w:r w:rsidR="002B5196">
        <w:rPr>
          <w:rFonts w:ascii="Segoe UI" w:hAnsi="Segoe UI" w:cs="Segoe UI"/>
          <w:i/>
          <w:sz w:val="24"/>
          <w:szCs w:val="24"/>
          <w:shd w:val="clear" w:color="auto" w:fill="FFFFFF"/>
        </w:rPr>
        <w:t xml:space="preserve"> is</w:t>
      </w:r>
      <w:r w:rsidRPr="002B5196">
        <w:rPr>
          <w:rFonts w:ascii="Segoe UI" w:hAnsi="Segoe UI" w:cs="Segoe UI"/>
          <w:i/>
          <w:sz w:val="24"/>
          <w:szCs w:val="24"/>
          <w:shd w:val="clear" w:color="auto" w:fill="FFFFFF"/>
        </w:rPr>
        <w:t xml:space="preserve"> only a slight difference between them like in this case,</w:t>
      </w:r>
      <w:r w:rsidRPr="002B5196">
        <w:rPr>
          <w:rFonts w:ascii="Segoe UI" w:hAnsi="Segoe UI" w:cs="Segoe UI"/>
          <w:sz w:val="24"/>
          <w:szCs w:val="24"/>
          <w:shd w:val="clear" w:color="auto" w:fill="FFFFFF"/>
        </w:rPr>
        <w:t xml:space="preserve"> </w:t>
      </w:r>
      <w:r w:rsidRPr="002B5196">
        <w:rPr>
          <w:rFonts w:ascii="Arial" w:hAnsi="Arial" w:cs="Arial"/>
          <w:i/>
          <w:sz w:val="24"/>
          <w:szCs w:val="24"/>
          <w:shd w:val="clear" w:color="auto" w:fill="FFFFFF"/>
        </w:rPr>
        <w:t>renders the likelihood of confusion unlikely. The</w:t>
      </w:r>
      <w:r w:rsidR="009B15D1" w:rsidRPr="002B5196">
        <w:rPr>
          <w:rFonts w:ascii="Arial" w:hAnsi="Arial" w:cs="Arial"/>
          <w:i/>
          <w:sz w:val="24"/>
          <w:szCs w:val="24"/>
          <w:shd w:val="clear" w:color="auto" w:fill="FFFFFF"/>
        </w:rPr>
        <w:t xml:space="preserve"> Deputy Registrar of Trademarks</w:t>
      </w:r>
      <w:r w:rsidRPr="002B5196">
        <w:rPr>
          <w:rFonts w:ascii="Arial" w:hAnsi="Arial" w:cs="Arial"/>
          <w:i/>
          <w:sz w:val="24"/>
          <w:szCs w:val="24"/>
          <w:shd w:val="clear" w:color="auto" w:fill="FFFFFF"/>
        </w:rPr>
        <w:t xml:space="preserve"> asserted </w:t>
      </w:r>
      <w:proofErr w:type="gramStart"/>
      <w:r w:rsidRPr="002B5196">
        <w:rPr>
          <w:rFonts w:ascii="Arial" w:hAnsi="Arial" w:cs="Arial"/>
          <w:i/>
          <w:sz w:val="24"/>
          <w:szCs w:val="24"/>
          <w:shd w:val="clear" w:color="auto" w:fill="FFFFFF"/>
        </w:rPr>
        <w:t xml:space="preserve">that </w:t>
      </w:r>
      <w:r w:rsidR="002B5196">
        <w:rPr>
          <w:rFonts w:ascii="Arial" w:hAnsi="Arial" w:cs="Arial"/>
          <w:i/>
          <w:sz w:val="24"/>
          <w:szCs w:val="24"/>
          <w:shd w:val="clear" w:color="auto" w:fill="FFFFFF"/>
        </w:rPr>
        <w:t>,</w:t>
      </w:r>
      <w:proofErr w:type="spellStart"/>
      <w:r w:rsidR="002B5196">
        <w:rPr>
          <w:rFonts w:ascii="Arial" w:hAnsi="Arial" w:cs="Arial"/>
          <w:i/>
          <w:sz w:val="24"/>
          <w:szCs w:val="24"/>
          <w:shd w:val="clear" w:color="auto" w:fill="FFFFFF"/>
        </w:rPr>
        <w:t>s</w:t>
      </w:r>
      <w:r w:rsidRPr="002B5196">
        <w:rPr>
          <w:rFonts w:ascii="Arial" w:hAnsi="Arial" w:cs="Arial"/>
          <w:i/>
          <w:sz w:val="24"/>
          <w:szCs w:val="24"/>
          <w:shd w:val="clear" w:color="auto" w:fill="FFFFFF"/>
        </w:rPr>
        <w:t>when</w:t>
      </w:r>
      <w:proofErr w:type="spellEnd"/>
      <w:proofErr w:type="gramEnd"/>
      <w:r w:rsidRPr="002B5196">
        <w:rPr>
          <w:rFonts w:ascii="Arial" w:hAnsi="Arial" w:cs="Arial"/>
          <w:i/>
          <w:sz w:val="24"/>
          <w:szCs w:val="24"/>
          <w:shd w:val="clear" w:color="auto" w:fill="FFFFFF"/>
        </w:rPr>
        <w:t xml:space="preserve"> the earlier mark lacks significant originality, the conceptual resemblance between the marks might not be enough to result in confusion in the market. Consequently, the trademarks are deemed dissimilar</w:t>
      </w:r>
      <w:r w:rsidRPr="002B5196">
        <w:rPr>
          <w:rFonts w:ascii="Segoe UI" w:hAnsi="Segoe UI" w:cs="Segoe UI"/>
          <w:sz w:val="24"/>
          <w:szCs w:val="24"/>
          <w:shd w:val="clear" w:color="auto" w:fill="FFFFFF"/>
        </w:rPr>
        <w:t>.</w:t>
      </w:r>
      <w:r w:rsidRPr="002B5196">
        <w:rPr>
          <w:rFonts w:ascii="Arial" w:hAnsi="Arial" w:cs="Arial"/>
          <w:sz w:val="24"/>
          <w:szCs w:val="24"/>
        </w:rPr>
        <w:t xml:space="preserve"> </w:t>
      </w:r>
      <w:r w:rsidR="006758B3" w:rsidRPr="002B5196">
        <w:rPr>
          <w:rFonts w:ascii="Arial" w:hAnsi="Arial" w:cs="Arial"/>
          <w:sz w:val="24"/>
          <w:szCs w:val="24"/>
        </w:rPr>
        <w:t>– A mark has to be taken as a whole instead of dissecting it into individual parts.</w:t>
      </w:r>
    </w:p>
    <w:p w:rsidR="002A064D" w:rsidRPr="002B5196" w:rsidRDefault="003361D9" w:rsidP="002A064D">
      <w:pPr>
        <w:spacing w:line="480" w:lineRule="auto"/>
        <w:jc w:val="both"/>
        <w:rPr>
          <w:rFonts w:ascii="Arial" w:hAnsi="Arial" w:cs="Arial"/>
          <w:sz w:val="24"/>
          <w:szCs w:val="24"/>
        </w:rPr>
      </w:pPr>
      <w:r w:rsidRPr="002B5196">
        <w:rPr>
          <w:rFonts w:ascii="Arial" w:hAnsi="Arial" w:cs="Arial"/>
          <w:sz w:val="24"/>
          <w:szCs w:val="24"/>
        </w:rPr>
        <w:t xml:space="preserve">This is a </w:t>
      </w:r>
      <w:r w:rsidR="009D0072" w:rsidRPr="002B5196">
        <w:rPr>
          <w:rFonts w:ascii="Arial" w:hAnsi="Arial" w:cs="Arial"/>
          <w:sz w:val="24"/>
          <w:szCs w:val="24"/>
        </w:rPr>
        <w:t>brief summary of the decision of the Deputy Registrar of Trade and Service Mark</w:t>
      </w:r>
      <w:r w:rsidR="002B5196">
        <w:rPr>
          <w:rFonts w:ascii="Arial" w:hAnsi="Arial" w:cs="Arial"/>
          <w:sz w:val="24"/>
          <w:szCs w:val="24"/>
        </w:rPr>
        <w:t>s</w:t>
      </w:r>
      <w:r w:rsidR="009D0072" w:rsidRPr="002B5196">
        <w:rPr>
          <w:rFonts w:ascii="Arial" w:hAnsi="Arial" w:cs="Arial"/>
          <w:sz w:val="24"/>
          <w:szCs w:val="24"/>
        </w:rPr>
        <w:t xml:space="preserve"> </w:t>
      </w:r>
      <w:r w:rsidRPr="002B5196">
        <w:rPr>
          <w:rFonts w:ascii="Arial" w:hAnsi="Arial" w:cs="Arial"/>
          <w:sz w:val="24"/>
          <w:szCs w:val="24"/>
        </w:rPr>
        <w:t xml:space="preserve">in respect of opposition proceedings between </w:t>
      </w:r>
      <w:r w:rsidR="00CB4C23" w:rsidRPr="002B5196">
        <w:rPr>
          <w:rFonts w:ascii="Arial" w:hAnsi="Arial" w:cs="Arial"/>
          <w:sz w:val="24"/>
          <w:szCs w:val="24"/>
        </w:rPr>
        <w:t xml:space="preserve">Enterprise Holdings Inc., </w:t>
      </w:r>
      <w:r w:rsidRPr="002B5196">
        <w:rPr>
          <w:rFonts w:ascii="Arial" w:hAnsi="Arial" w:cs="Arial"/>
          <w:sz w:val="24"/>
          <w:szCs w:val="24"/>
        </w:rPr>
        <w:t xml:space="preserve">Ltd., the Opponent, and </w:t>
      </w:r>
      <w:r w:rsidR="00CB4C23" w:rsidRPr="002B5196">
        <w:rPr>
          <w:rFonts w:ascii="Arial" w:hAnsi="Arial" w:cs="Arial"/>
          <w:sz w:val="24"/>
          <w:szCs w:val="24"/>
        </w:rPr>
        <w:t xml:space="preserve">Easy Travel and Tours Limited of Tanzania, </w:t>
      </w:r>
      <w:r w:rsidRPr="002B5196">
        <w:rPr>
          <w:rFonts w:ascii="Arial" w:hAnsi="Arial" w:cs="Arial"/>
          <w:sz w:val="24"/>
          <w:szCs w:val="24"/>
        </w:rPr>
        <w:t xml:space="preserve">the Applicant. </w:t>
      </w:r>
      <w:r w:rsidR="00CB4C23" w:rsidRPr="002B5196">
        <w:rPr>
          <w:rFonts w:ascii="Arial" w:hAnsi="Arial" w:cs="Arial"/>
          <w:sz w:val="24"/>
          <w:szCs w:val="24"/>
        </w:rPr>
        <w:t xml:space="preserve">The Opponent’s grounds </w:t>
      </w:r>
      <w:r w:rsidR="002B5196">
        <w:rPr>
          <w:rFonts w:ascii="Arial" w:hAnsi="Arial" w:cs="Arial"/>
          <w:sz w:val="24"/>
          <w:szCs w:val="24"/>
        </w:rPr>
        <w:t>for</w:t>
      </w:r>
      <w:r w:rsidR="00CB4C23" w:rsidRPr="002B5196">
        <w:rPr>
          <w:rFonts w:ascii="Arial" w:hAnsi="Arial" w:cs="Arial"/>
          <w:sz w:val="24"/>
          <w:szCs w:val="24"/>
        </w:rPr>
        <w:t xml:space="preserve"> the Opposition were to the effect that, the Applicant’s marks consist of a </w:t>
      </w:r>
      <w:r w:rsidR="002B5196" w:rsidRPr="002B5196">
        <w:rPr>
          <w:rFonts w:ascii="Arial" w:hAnsi="Arial" w:cs="Arial"/>
          <w:sz w:val="24"/>
          <w:szCs w:val="24"/>
        </w:rPr>
        <w:t>stylized</w:t>
      </w:r>
      <w:r w:rsidR="00CB4C23" w:rsidRPr="002B5196">
        <w:rPr>
          <w:rFonts w:ascii="Arial" w:hAnsi="Arial" w:cs="Arial"/>
          <w:sz w:val="24"/>
          <w:szCs w:val="24"/>
        </w:rPr>
        <w:t xml:space="preserve"> “e” device which is visually and nearly identical to the Opponent’s well-known </w:t>
      </w:r>
      <w:r w:rsidR="002B5196" w:rsidRPr="002B5196">
        <w:rPr>
          <w:rFonts w:ascii="Arial" w:hAnsi="Arial" w:cs="Arial"/>
          <w:sz w:val="24"/>
          <w:szCs w:val="24"/>
        </w:rPr>
        <w:t>stylized</w:t>
      </w:r>
      <w:r w:rsidR="00CB4C23" w:rsidRPr="002B5196">
        <w:rPr>
          <w:rFonts w:ascii="Arial" w:hAnsi="Arial" w:cs="Arial"/>
          <w:sz w:val="24"/>
          <w:szCs w:val="24"/>
        </w:rPr>
        <w:t xml:space="preserve"> “e” &amp; design service mark.  Th</w:t>
      </w:r>
      <w:r w:rsidR="002B5196">
        <w:rPr>
          <w:rFonts w:ascii="Arial" w:hAnsi="Arial" w:cs="Arial"/>
          <w:sz w:val="24"/>
          <w:szCs w:val="24"/>
        </w:rPr>
        <w:t>at, the</w:t>
      </w:r>
      <w:r w:rsidR="00CB4C23" w:rsidRPr="002B5196">
        <w:rPr>
          <w:rFonts w:ascii="Arial" w:hAnsi="Arial" w:cs="Arial"/>
          <w:sz w:val="24"/>
          <w:szCs w:val="24"/>
        </w:rPr>
        <w:t xml:space="preserve"> “e” device contained in the Applicant’s marks so closely resembles the Opponent’s service mark that the use by the Applicant of any of the offending marks is likely to lead to deception and/or cause confusion between the Opponent’s and the Applicant’s respective services, causing members of the public to believe that there exists some connection between their services </w:t>
      </w:r>
      <w:r w:rsidR="00CB4C23" w:rsidRPr="002B5196">
        <w:rPr>
          <w:rFonts w:ascii="Arial" w:hAnsi="Arial" w:cs="Arial"/>
          <w:sz w:val="24"/>
          <w:szCs w:val="24"/>
        </w:rPr>
        <w:lastRenderedPageBreak/>
        <w:t>or the business of the Opponent and that of the Applicant.</w:t>
      </w:r>
      <w:r w:rsidR="002A064D" w:rsidRPr="002B5196">
        <w:rPr>
          <w:rFonts w:ascii="Arial" w:hAnsi="Arial" w:cs="Arial"/>
          <w:sz w:val="24"/>
          <w:szCs w:val="24"/>
        </w:rPr>
        <w:t xml:space="preserve"> </w:t>
      </w:r>
      <w:r w:rsidR="00704AC4" w:rsidRPr="002B5196">
        <w:rPr>
          <w:rFonts w:ascii="Arial" w:hAnsi="Arial" w:cs="Arial"/>
          <w:sz w:val="24"/>
          <w:szCs w:val="24"/>
        </w:rPr>
        <w:t>The Opponent therefore prayed that, the Offending Marks be refused registration; an order for costs for the proceedings be made in favour of the Opponent; and any other order that the Registrar may deem fit and just to grant</w:t>
      </w:r>
      <w:r w:rsidR="00A44E04" w:rsidRPr="002B5196">
        <w:rPr>
          <w:rFonts w:ascii="Arial" w:hAnsi="Arial" w:cs="Arial"/>
          <w:sz w:val="24"/>
          <w:szCs w:val="24"/>
        </w:rPr>
        <w:t>.</w:t>
      </w:r>
    </w:p>
    <w:p w:rsidR="002A064D" w:rsidRPr="002B5196" w:rsidRDefault="002A064D" w:rsidP="002A064D">
      <w:pPr>
        <w:spacing w:line="480" w:lineRule="auto"/>
        <w:jc w:val="both"/>
        <w:rPr>
          <w:rFonts w:ascii="Arial" w:hAnsi="Arial" w:cs="Arial"/>
          <w:b/>
          <w:sz w:val="24"/>
          <w:szCs w:val="24"/>
        </w:rPr>
      </w:pPr>
      <w:r w:rsidRPr="002B5196">
        <w:rPr>
          <w:rFonts w:ascii="Arial" w:hAnsi="Arial" w:cs="Arial"/>
          <w:b/>
          <w:sz w:val="24"/>
          <w:szCs w:val="24"/>
        </w:rPr>
        <w:t>ISSUES</w:t>
      </w:r>
    </w:p>
    <w:p w:rsidR="002A064D" w:rsidRPr="002B5196" w:rsidRDefault="002A064D" w:rsidP="002A064D">
      <w:pPr>
        <w:numPr>
          <w:ilvl w:val="0"/>
          <w:numId w:val="6"/>
        </w:numPr>
        <w:spacing w:after="0" w:line="480" w:lineRule="auto"/>
        <w:jc w:val="both"/>
        <w:rPr>
          <w:rFonts w:ascii="Arial" w:hAnsi="Arial" w:cs="Arial"/>
          <w:sz w:val="24"/>
          <w:szCs w:val="24"/>
        </w:rPr>
      </w:pPr>
      <w:r w:rsidRPr="002B5196">
        <w:rPr>
          <w:rFonts w:ascii="Arial" w:hAnsi="Arial" w:cs="Arial"/>
          <w:sz w:val="24"/>
          <w:szCs w:val="24"/>
        </w:rPr>
        <w:t xml:space="preserve">Whether the opposed service mark </w:t>
      </w:r>
      <w:r w:rsidRPr="002B5196">
        <w:rPr>
          <w:rFonts w:ascii="Arial" w:hAnsi="Arial" w:cs="Arial"/>
          <w:b/>
          <w:bCs/>
          <w:sz w:val="24"/>
          <w:szCs w:val="24"/>
        </w:rPr>
        <w:t>“e easy travel and devices”</w:t>
      </w:r>
      <w:r w:rsidRPr="002B5196">
        <w:rPr>
          <w:rFonts w:ascii="Arial" w:hAnsi="Arial" w:cs="Arial"/>
          <w:sz w:val="24"/>
          <w:szCs w:val="24"/>
        </w:rPr>
        <w:t xml:space="preserve"> is visually and nearly identical to the Opponent’s service mark </w:t>
      </w:r>
      <w:r w:rsidRPr="002B5196">
        <w:rPr>
          <w:rFonts w:ascii="Arial" w:hAnsi="Arial" w:cs="Arial"/>
          <w:b/>
          <w:bCs/>
          <w:sz w:val="24"/>
          <w:szCs w:val="24"/>
        </w:rPr>
        <w:t>“e”</w:t>
      </w:r>
      <w:r w:rsidRPr="002B5196">
        <w:rPr>
          <w:rFonts w:ascii="Arial" w:hAnsi="Arial" w:cs="Arial"/>
          <w:sz w:val="24"/>
          <w:szCs w:val="24"/>
        </w:rPr>
        <w:t xml:space="preserve"> </w:t>
      </w:r>
      <w:r w:rsidR="00EA6495" w:rsidRPr="002B5196">
        <w:rPr>
          <w:rFonts w:ascii="Arial" w:hAnsi="Arial" w:cs="Arial"/>
          <w:sz w:val="24"/>
          <w:szCs w:val="24"/>
        </w:rPr>
        <w:t>design</w:t>
      </w:r>
      <w:r w:rsidR="002B5196">
        <w:rPr>
          <w:rFonts w:ascii="Arial" w:hAnsi="Arial" w:cs="Arial"/>
          <w:sz w:val="24"/>
          <w:szCs w:val="24"/>
        </w:rPr>
        <w:t>,</w:t>
      </w:r>
      <w:r w:rsidR="00EA6495" w:rsidRPr="002B5196">
        <w:rPr>
          <w:rFonts w:ascii="Arial" w:hAnsi="Arial" w:cs="Arial"/>
          <w:sz w:val="24"/>
          <w:szCs w:val="24"/>
        </w:rPr>
        <w:t xml:space="preserve"> that</w:t>
      </w:r>
      <w:r w:rsidRPr="002B5196">
        <w:rPr>
          <w:rFonts w:ascii="Arial" w:hAnsi="Arial" w:cs="Arial"/>
          <w:sz w:val="24"/>
          <w:szCs w:val="24"/>
        </w:rPr>
        <w:t xml:space="preserve"> is likely to deceive and/or cause confusion between the services of the Applicant and Opponent and to members of the public.</w:t>
      </w:r>
    </w:p>
    <w:p w:rsidR="002A064D" w:rsidRPr="002B5196" w:rsidRDefault="002A064D" w:rsidP="002A064D">
      <w:pPr>
        <w:numPr>
          <w:ilvl w:val="0"/>
          <w:numId w:val="6"/>
        </w:numPr>
        <w:spacing w:after="0" w:line="480" w:lineRule="auto"/>
        <w:jc w:val="both"/>
        <w:rPr>
          <w:rFonts w:ascii="Arial" w:hAnsi="Arial" w:cs="Arial"/>
          <w:sz w:val="24"/>
          <w:szCs w:val="24"/>
        </w:rPr>
      </w:pPr>
      <w:r w:rsidRPr="002B5196">
        <w:rPr>
          <w:rFonts w:ascii="Arial" w:hAnsi="Arial" w:cs="Arial"/>
          <w:sz w:val="24"/>
          <w:szCs w:val="24"/>
        </w:rPr>
        <w:t xml:space="preserve">Whether the Opponent’s service mark </w:t>
      </w:r>
      <w:r w:rsidRPr="002B5196">
        <w:rPr>
          <w:rFonts w:ascii="Arial" w:hAnsi="Arial" w:cs="Arial"/>
          <w:b/>
          <w:bCs/>
          <w:sz w:val="24"/>
          <w:szCs w:val="24"/>
        </w:rPr>
        <w:t>“e”</w:t>
      </w:r>
      <w:r w:rsidRPr="002B5196">
        <w:rPr>
          <w:rFonts w:ascii="Arial" w:hAnsi="Arial" w:cs="Arial"/>
          <w:sz w:val="24"/>
          <w:szCs w:val="24"/>
        </w:rPr>
        <w:t xml:space="preserve"> design is a well-known mark.</w:t>
      </w:r>
    </w:p>
    <w:p w:rsidR="002B5196" w:rsidRDefault="002B5196" w:rsidP="002A064D">
      <w:pPr>
        <w:spacing w:line="480" w:lineRule="auto"/>
        <w:jc w:val="both"/>
        <w:rPr>
          <w:rFonts w:ascii="Arial" w:hAnsi="Arial" w:cs="Arial"/>
          <w:b/>
          <w:sz w:val="24"/>
          <w:szCs w:val="24"/>
        </w:rPr>
      </w:pPr>
    </w:p>
    <w:p w:rsidR="002A064D" w:rsidRPr="002B5196" w:rsidRDefault="002A064D" w:rsidP="002A064D">
      <w:pPr>
        <w:spacing w:line="480" w:lineRule="auto"/>
        <w:jc w:val="both"/>
        <w:rPr>
          <w:rFonts w:ascii="Arial" w:hAnsi="Arial" w:cs="Arial"/>
          <w:b/>
          <w:sz w:val="24"/>
          <w:szCs w:val="24"/>
        </w:rPr>
      </w:pPr>
      <w:r w:rsidRPr="002B5196">
        <w:rPr>
          <w:rFonts w:ascii="Arial" w:hAnsi="Arial" w:cs="Arial"/>
          <w:b/>
          <w:sz w:val="24"/>
          <w:szCs w:val="24"/>
        </w:rPr>
        <w:t>HOLDING</w:t>
      </w:r>
      <w:r w:rsidR="002B5196">
        <w:rPr>
          <w:rFonts w:ascii="Arial" w:hAnsi="Arial" w:cs="Arial"/>
          <w:b/>
          <w:sz w:val="24"/>
          <w:szCs w:val="24"/>
        </w:rPr>
        <w:t>:</w:t>
      </w:r>
    </w:p>
    <w:p w:rsidR="002A064D" w:rsidRPr="002B5196" w:rsidRDefault="002A064D" w:rsidP="00EA6495">
      <w:pPr>
        <w:pStyle w:val="ListParagraph"/>
        <w:numPr>
          <w:ilvl w:val="0"/>
          <w:numId w:val="7"/>
        </w:numPr>
        <w:spacing w:line="480" w:lineRule="auto"/>
        <w:jc w:val="both"/>
        <w:rPr>
          <w:rFonts w:ascii="Arial" w:hAnsi="Arial" w:cs="Arial"/>
          <w:sz w:val="24"/>
          <w:szCs w:val="24"/>
        </w:rPr>
      </w:pPr>
      <w:r w:rsidRPr="002B5196">
        <w:rPr>
          <w:rFonts w:ascii="Arial" w:hAnsi="Arial" w:cs="Arial"/>
          <w:sz w:val="24"/>
          <w:szCs w:val="24"/>
        </w:rPr>
        <w:t xml:space="preserve">It is well recognized that in deciding a question of similarity between two marks, the marks </w:t>
      </w:r>
      <w:r w:rsidRPr="002B5196">
        <w:rPr>
          <w:rFonts w:ascii="Arial" w:hAnsi="Arial" w:cs="Arial"/>
          <w:b/>
          <w:sz w:val="24"/>
          <w:szCs w:val="24"/>
        </w:rPr>
        <w:t>must be considered as a whole</w:t>
      </w:r>
      <w:r w:rsidRPr="002B5196">
        <w:rPr>
          <w:rFonts w:ascii="Arial" w:hAnsi="Arial" w:cs="Arial"/>
          <w:sz w:val="24"/>
          <w:szCs w:val="24"/>
        </w:rPr>
        <w:t xml:space="preserve">.  Whereas, in the case at hand, letter “e” in both Opponent’s and Applicant’s marks is from the first letters of their company names to wit, </w:t>
      </w:r>
      <w:r w:rsidRPr="002B5196">
        <w:rPr>
          <w:rFonts w:ascii="Arial" w:hAnsi="Arial" w:cs="Arial"/>
          <w:b/>
          <w:bCs/>
          <w:sz w:val="24"/>
          <w:szCs w:val="24"/>
        </w:rPr>
        <w:t>“Enterprise Holdings Inc.”</w:t>
      </w:r>
      <w:r w:rsidRPr="002B5196">
        <w:rPr>
          <w:rFonts w:ascii="Arial" w:hAnsi="Arial" w:cs="Arial"/>
          <w:sz w:val="24"/>
          <w:szCs w:val="24"/>
        </w:rPr>
        <w:t xml:space="preserve"> for the Opponent and “</w:t>
      </w:r>
      <w:r w:rsidRPr="002B5196">
        <w:rPr>
          <w:rFonts w:ascii="Arial" w:hAnsi="Arial" w:cs="Arial"/>
          <w:b/>
          <w:bCs/>
          <w:sz w:val="24"/>
          <w:szCs w:val="24"/>
        </w:rPr>
        <w:t xml:space="preserve">Easy Travel and Tours Limited” </w:t>
      </w:r>
      <w:r w:rsidRPr="002B5196">
        <w:rPr>
          <w:rFonts w:ascii="Arial" w:hAnsi="Arial" w:cs="Arial"/>
          <w:sz w:val="24"/>
          <w:szCs w:val="24"/>
        </w:rPr>
        <w:t>for the Applicant.  The marks have been designed in ways each party wished to use the letters as brands for their services.  Although letter “e” forms essential feature of Opponent’s and Applicant’s marks, they have both been differently designed, they incorporate features when looked at both marks as whole</w:t>
      </w:r>
      <w:r w:rsidR="00B57640">
        <w:rPr>
          <w:rFonts w:ascii="Arial" w:hAnsi="Arial" w:cs="Arial"/>
          <w:sz w:val="24"/>
          <w:szCs w:val="24"/>
        </w:rPr>
        <w:t>,</w:t>
      </w:r>
      <w:r w:rsidRPr="002B5196">
        <w:rPr>
          <w:rFonts w:ascii="Arial" w:hAnsi="Arial" w:cs="Arial"/>
          <w:sz w:val="24"/>
          <w:szCs w:val="24"/>
        </w:rPr>
        <w:t xml:space="preserve"> one can find that the same are different.</w:t>
      </w:r>
    </w:p>
    <w:p w:rsidR="00704AC4" w:rsidRPr="002B5196" w:rsidRDefault="00704AC4" w:rsidP="00704AC4">
      <w:pPr>
        <w:pStyle w:val="ListParagraph"/>
        <w:numPr>
          <w:ilvl w:val="0"/>
          <w:numId w:val="7"/>
        </w:numPr>
        <w:spacing w:line="480" w:lineRule="auto"/>
        <w:jc w:val="both"/>
        <w:rPr>
          <w:rFonts w:ascii="Arial" w:hAnsi="Arial" w:cs="Arial"/>
          <w:sz w:val="24"/>
          <w:szCs w:val="24"/>
        </w:rPr>
      </w:pPr>
      <w:r w:rsidRPr="002B5196">
        <w:rPr>
          <w:rFonts w:ascii="Arial" w:hAnsi="Arial" w:cs="Arial"/>
          <w:sz w:val="24"/>
          <w:szCs w:val="24"/>
        </w:rPr>
        <w:lastRenderedPageBreak/>
        <w:t>It is a well-established principle of the trade mark law that while comparing and considering a trademark</w:t>
      </w:r>
      <w:r w:rsidR="00B57640">
        <w:rPr>
          <w:rFonts w:ascii="Arial" w:hAnsi="Arial" w:cs="Arial"/>
          <w:sz w:val="24"/>
          <w:szCs w:val="24"/>
        </w:rPr>
        <w:t>,</w:t>
      </w:r>
      <w:r w:rsidRPr="002B5196">
        <w:rPr>
          <w:rFonts w:ascii="Arial" w:hAnsi="Arial" w:cs="Arial"/>
          <w:sz w:val="24"/>
          <w:szCs w:val="24"/>
        </w:rPr>
        <w:t xml:space="preserve"> the mark has to be </w:t>
      </w:r>
      <w:r w:rsidRPr="002B5196">
        <w:rPr>
          <w:rFonts w:ascii="Arial" w:hAnsi="Arial" w:cs="Arial"/>
          <w:b/>
          <w:sz w:val="24"/>
          <w:szCs w:val="24"/>
        </w:rPr>
        <w:t>seen as a whole</w:t>
      </w:r>
      <w:r w:rsidRPr="002B5196">
        <w:rPr>
          <w:rFonts w:ascii="Arial" w:hAnsi="Arial" w:cs="Arial"/>
          <w:sz w:val="24"/>
          <w:szCs w:val="24"/>
        </w:rPr>
        <w:t xml:space="preserve"> and </w:t>
      </w:r>
      <w:r w:rsidRPr="002B5196">
        <w:rPr>
          <w:rFonts w:ascii="Arial" w:hAnsi="Arial" w:cs="Arial"/>
          <w:b/>
          <w:sz w:val="24"/>
          <w:szCs w:val="24"/>
        </w:rPr>
        <w:t>not in parts</w:t>
      </w:r>
      <w:r w:rsidRPr="002B5196">
        <w:rPr>
          <w:rFonts w:ascii="Arial" w:hAnsi="Arial" w:cs="Arial"/>
          <w:sz w:val="24"/>
          <w:szCs w:val="24"/>
        </w:rPr>
        <w:t xml:space="preserve">. </w:t>
      </w:r>
      <w:r w:rsidR="00645733" w:rsidRPr="002B5196">
        <w:rPr>
          <w:rFonts w:ascii="Arial" w:hAnsi="Arial" w:cs="Arial"/>
          <w:sz w:val="24"/>
          <w:szCs w:val="24"/>
        </w:rPr>
        <w:t>T</w:t>
      </w:r>
      <w:r w:rsidRPr="002B5196">
        <w:rPr>
          <w:rFonts w:ascii="Arial" w:hAnsi="Arial" w:cs="Arial"/>
          <w:sz w:val="24"/>
          <w:szCs w:val="24"/>
        </w:rPr>
        <w:t xml:space="preserve">he Opponent’s and Applicants marks are found to be different if they are to be looked at as </w:t>
      </w:r>
      <w:r w:rsidR="00B57640">
        <w:rPr>
          <w:rFonts w:ascii="Arial" w:hAnsi="Arial" w:cs="Arial"/>
          <w:sz w:val="24"/>
          <w:szCs w:val="24"/>
        </w:rPr>
        <w:t xml:space="preserve">a </w:t>
      </w:r>
      <w:r w:rsidRPr="002B5196">
        <w:rPr>
          <w:rFonts w:ascii="Arial" w:hAnsi="Arial" w:cs="Arial"/>
          <w:sz w:val="24"/>
          <w:szCs w:val="24"/>
        </w:rPr>
        <w:t>whole and not dissecting them from the respective designs.</w:t>
      </w:r>
    </w:p>
    <w:p w:rsidR="002A064D" w:rsidRPr="002B5196" w:rsidRDefault="00704AC4" w:rsidP="002A064D">
      <w:pPr>
        <w:pStyle w:val="ListParagraph"/>
        <w:numPr>
          <w:ilvl w:val="0"/>
          <w:numId w:val="7"/>
        </w:numPr>
        <w:spacing w:line="480" w:lineRule="auto"/>
        <w:jc w:val="both"/>
        <w:rPr>
          <w:rFonts w:ascii="Arial" w:hAnsi="Arial" w:cs="Arial"/>
          <w:sz w:val="24"/>
          <w:szCs w:val="24"/>
        </w:rPr>
      </w:pPr>
      <w:r w:rsidRPr="002B5196">
        <w:rPr>
          <w:rFonts w:ascii="Arial" w:hAnsi="Arial" w:cs="Arial"/>
          <w:sz w:val="24"/>
          <w:szCs w:val="24"/>
        </w:rPr>
        <w:t xml:space="preserve">The Applicant has failed to prove that its trade mark </w:t>
      </w:r>
      <w:r w:rsidRPr="002B5196">
        <w:rPr>
          <w:rFonts w:ascii="Arial" w:hAnsi="Arial" w:cs="Arial"/>
          <w:b/>
          <w:bCs/>
          <w:sz w:val="24"/>
          <w:szCs w:val="24"/>
        </w:rPr>
        <w:t>‘e’</w:t>
      </w:r>
      <w:r w:rsidRPr="002B5196">
        <w:rPr>
          <w:rFonts w:ascii="Arial" w:hAnsi="Arial" w:cs="Arial"/>
          <w:sz w:val="24"/>
          <w:szCs w:val="24"/>
        </w:rPr>
        <w:t xml:space="preserve"> design has acquired such reputation to accord it the status of being considered a well-known mark.  </w:t>
      </w:r>
      <w:r w:rsidR="00B57640">
        <w:rPr>
          <w:rFonts w:ascii="Arial" w:hAnsi="Arial" w:cs="Arial"/>
          <w:sz w:val="24"/>
          <w:szCs w:val="24"/>
        </w:rPr>
        <w:t>A</w:t>
      </w:r>
      <w:r w:rsidRPr="002B5196">
        <w:rPr>
          <w:rFonts w:ascii="Arial" w:hAnsi="Arial" w:cs="Arial"/>
          <w:sz w:val="24"/>
          <w:szCs w:val="24"/>
        </w:rPr>
        <w:t xml:space="preserve"> mark is considered a</w:t>
      </w:r>
      <w:r w:rsidR="00B57640">
        <w:rPr>
          <w:rFonts w:ascii="Arial" w:hAnsi="Arial" w:cs="Arial"/>
          <w:sz w:val="24"/>
          <w:szCs w:val="24"/>
        </w:rPr>
        <w:t>s</w:t>
      </w:r>
      <w:r w:rsidRPr="002B5196">
        <w:rPr>
          <w:rFonts w:ascii="Arial" w:hAnsi="Arial" w:cs="Arial"/>
          <w:sz w:val="24"/>
          <w:szCs w:val="24"/>
        </w:rPr>
        <w:t xml:space="preserve"> well-known or famous in circumstance where the said mark is </w:t>
      </w:r>
      <w:r w:rsidRPr="002B5196">
        <w:rPr>
          <w:rFonts w:ascii="Arial" w:hAnsi="Arial" w:cs="Arial"/>
          <w:bCs/>
          <w:sz w:val="24"/>
          <w:szCs w:val="24"/>
        </w:rPr>
        <w:t>widely known among the consuming public</w:t>
      </w:r>
      <w:r w:rsidR="00B57640">
        <w:rPr>
          <w:rFonts w:ascii="Arial" w:hAnsi="Arial" w:cs="Arial"/>
          <w:bCs/>
          <w:sz w:val="24"/>
          <w:szCs w:val="24"/>
        </w:rPr>
        <w:t>.</w:t>
      </w:r>
    </w:p>
    <w:p w:rsidR="00704AC4" w:rsidRPr="002B5196" w:rsidRDefault="00704AC4" w:rsidP="002A064D">
      <w:pPr>
        <w:spacing w:line="480" w:lineRule="auto"/>
        <w:jc w:val="both"/>
        <w:rPr>
          <w:rFonts w:ascii="Arial" w:hAnsi="Arial" w:cs="Arial"/>
          <w:b/>
          <w:sz w:val="24"/>
          <w:szCs w:val="24"/>
        </w:rPr>
      </w:pPr>
      <w:r w:rsidRPr="002B5196">
        <w:rPr>
          <w:rFonts w:ascii="Arial" w:hAnsi="Arial" w:cs="Arial"/>
          <w:b/>
          <w:sz w:val="24"/>
          <w:szCs w:val="24"/>
        </w:rPr>
        <w:t>ORDERS</w:t>
      </w:r>
      <w:r w:rsidR="00B57640">
        <w:rPr>
          <w:rFonts w:ascii="Arial" w:hAnsi="Arial" w:cs="Arial"/>
          <w:b/>
          <w:sz w:val="24"/>
          <w:szCs w:val="24"/>
        </w:rPr>
        <w:t>:</w:t>
      </w:r>
    </w:p>
    <w:p w:rsidR="00704AC4" w:rsidRPr="002B5196" w:rsidRDefault="00704AC4" w:rsidP="00EA2EDD">
      <w:pPr>
        <w:pStyle w:val="ListParagraph"/>
        <w:numPr>
          <w:ilvl w:val="2"/>
          <w:numId w:val="6"/>
        </w:numPr>
        <w:tabs>
          <w:tab w:val="clear" w:pos="2160"/>
        </w:tabs>
        <w:spacing w:line="480" w:lineRule="auto"/>
        <w:ind w:left="1080" w:hanging="720"/>
        <w:jc w:val="both"/>
        <w:rPr>
          <w:rFonts w:ascii="Arial" w:hAnsi="Arial" w:cs="Arial"/>
          <w:iCs/>
          <w:sz w:val="24"/>
          <w:szCs w:val="24"/>
        </w:rPr>
      </w:pPr>
      <w:r w:rsidRPr="002B5196">
        <w:rPr>
          <w:rFonts w:ascii="Arial" w:hAnsi="Arial" w:cs="Arial"/>
          <w:iCs/>
          <w:sz w:val="24"/>
          <w:szCs w:val="24"/>
        </w:rPr>
        <w:t xml:space="preserve">The Opposition for registration of a service mark Application No. </w:t>
      </w:r>
      <w:r w:rsidRPr="002B5196">
        <w:rPr>
          <w:rFonts w:ascii="Arial" w:hAnsi="Arial" w:cs="Arial"/>
          <w:sz w:val="24"/>
          <w:szCs w:val="24"/>
        </w:rPr>
        <w:t xml:space="preserve">TZ/S/2017/509, </w:t>
      </w:r>
      <w:r w:rsidRPr="002B5196">
        <w:rPr>
          <w:rFonts w:ascii="Arial" w:hAnsi="Arial" w:cs="Arial"/>
          <w:b/>
          <w:bCs/>
          <w:sz w:val="24"/>
          <w:szCs w:val="24"/>
        </w:rPr>
        <w:t>e easy travel (and device</w:t>
      </w:r>
      <w:r w:rsidRPr="002B5196">
        <w:rPr>
          <w:rFonts w:ascii="Arial" w:hAnsi="Arial" w:cs="Arial"/>
          <w:sz w:val="24"/>
          <w:szCs w:val="24"/>
        </w:rPr>
        <w:t xml:space="preserve">) in class 39 in the name of Easy Travel and Tours Limited </w:t>
      </w:r>
      <w:r w:rsidRPr="002B5196">
        <w:rPr>
          <w:rFonts w:ascii="Arial" w:hAnsi="Arial" w:cs="Arial"/>
          <w:iCs/>
          <w:sz w:val="24"/>
          <w:szCs w:val="24"/>
        </w:rPr>
        <w:t xml:space="preserve">was dismissed and an order for the said service mark proceed to registration.   </w:t>
      </w:r>
    </w:p>
    <w:p w:rsidR="00704AC4" w:rsidRPr="002B5196" w:rsidRDefault="00704AC4" w:rsidP="00EA2EDD">
      <w:pPr>
        <w:pStyle w:val="ListParagraph"/>
        <w:numPr>
          <w:ilvl w:val="2"/>
          <w:numId w:val="6"/>
        </w:numPr>
        <w:tabs>
          <w:tab w:val="clear" w:pos="2160"/>
        </w:tabs>
        <w:spacing w:line="480" w:lineRule="auto"/>
        <w:ind w:left="1080" w:hanging="810"/>
        <w:jc w:val="both"/>
        <w:rPr>
          <w:rFonts w:ascii="Arial" w:hAnsi="Arial" w:cs="Arial"/>
          <w:iCs/>
          <w:sz w:val="24"/>
          <w:szCs w:val="24"/>
        </w:rPr>
      </w:pPr>
      <w:r w:rsidRPr="002B5196">
        <w:rPr>
          <w:rFonts w:ascii="Arial" w:hAnsi="Arial" w:cs="Arial"/>
          <w:iCs/>
          <w:sz w:val="24"/>
          <w:szCs w:val="24"/>
        </w:rPr>
        <w:t>Each party to bear its own costs of the proceeding.</w:t>
      </w:r>
    </w:p>
    <w:p w:rsidR="00EA2EDD" w:rsidRDefault="00EA2EDD" w:rsidP="002A064D">
      <w:pPr>
        <w:spacing w:line="480" w:lineRule="auto"/>
        <w:jc w:val="both"/>
        <w:rPr>
          <w:rFonts w:ascii="Arial" w:hAnsi="Arial" w:cs="Arial"/>
          <w:b/>
          <w:sz w:val="24"/>
          <w:szCs w:val="24"/>
        </w:rPr>
      </w:pPr>
    </w:p>
    <w:p w:rsidR="00704AC4" w:rsidRPr="002B5196" w:rsidRDefault="00704AC4" w:rsidP="002A064D">
      <w:pPr>
        <w:spacing w:line="480" w:lineRule="auto"/>
        <w:jc w:val="both"/>
        <w:rPr>
          <w:rFonts w:ascii="Arial" w:hAnsi="Arial" w:cs="Arial"/>
          <w:b/>
          <w:sz w:val="24"/>
          <w:szCs w:val="24"/>
        </w:rPr>
      </w:pPr>
      <w:r w:rsidRPr="002B5196">
        <w:rPr>
          <w:rFonts w:ascii="Arial" w:hAnsi="Arial" w:cs="Arial"/>
          <w:b/>
          <w:sz w:val="24"/>
          <w:szCs w:val="24"/>
        </w:rPr>
        <w:t>CITED CASES</w:t>
      </w:r>
      <w:r w:rsidR="00EA2EDD">
        <w:rPr>
          <w:rFonts w:ascii="Arial" w:hAnsi="Arial" w:cs="Arial"/>
          <w:b/>
          <w:sz w:val="24"/>
          <w:szCs w:val="24"/>
        </w:rPr>
        <w:t>:</w:t>
      </w:r>
    </w:p>
    <w:p w:rsidR="00704AC4" w:rsidRPr="002B5196" w:rsidRDefault="00704AC4" w:rsidP="00645733">
      <w:pPr>
        <w:pStyle w:val="ListParagraph"/>
        <w:numPr>
          <w:ilvl w:val="0"/>
          <w:numId w:val="8"/>
        </w:numPr>
        <w:spacing w:line="480" w:lineRule="auto"/>
        <w:jc w:val="both"/>
        <w:rPr>
          <w:rFonts w:ascii="Arial" w:hAnsi="Arial" w:cs="Arial"/>
          <w:sz w:val="24"/>
          <w:szCs w:val="24"/>
        </w:rPr>
      </w:pPr>
      <w:proofErr w:type="spellStart"/>
      <w:r w:rsidRPr="002B5196">
        <w:rPr>
          <w:rFonts w:ascii="Arial" w:hAnsi="Arial" w:cs="Arial"/>
          <w:bCs/>
          <w:sz w:val="24"/>
          <w:szCs w:val="24"/>
        </w:rPr>
        <w:t>Sabel</w:t>
      </w:r>
      <w:proofErr w:type="spellEnd"/>
      <w:r w:rsidRPr="002B5196">
        <w:rPr>
          <w:rFonts w:ascii="Arial" w:hAnsi="Arial" w:cs="Arial"/>
          <w:bCs/>
          <w:sz w:val="24"/>
          <w:szCs w:val="24"/>
        </w:rPr>
        <w:t xml:space="preserve"> </w:t>
      </w:r>
      <w:r w:rsidR="00EA2EDD">
        <w:rPr>
          <w:rFonts w:ascii="Arial" w:hAnsi="Arial" w:cs="Arial"/>
          <w:bCs/>
          <w:sz w:val="24"/>
          <w:szCs w:val="24"/>
        </w:rPr>
        <w:t>v.</w:t>
      </w:r>
      <w:r w:rsidRPr="002B5196">
        <w:rPr>
          <w:rFonts w:ascii="Arial" w:hAnsi="Arial" w:cs="Arial"/>
          <w:bCs/>
          <w:sz w:val="24"/>
          <w:szCs w:val="24"/>
        </w:rPr>
        <w:t xml:space="preserve"> Puma C-351 95</w:t>
      </w:r>
    </w:p>
    <w:p w:rsidR="00D91CD0" w:rsidRPr="002B5196" w:rsidRDefault="00D91CD0" w:rsidP="00704AC4">
      <w:pPr>
        <w:pStyle w:val="ListParagraph"/>
        <w:numPr>
          <w:ilvl w:val="0"/>
          <w:numId w:val="8"/>
        </w:numPr>
        <w:spacing w:line="480" w:lineRule="auto"/>
        <w:jc w:val="both"/>
        <w:rPr>
          <w:rFonts w:ascii="Arial" w:hAnsi="Arial" w:cs="Arial"/>
          <w:sz w:val="24"/>
          <w:szCs w:val="24"/>
        </w:rPr>
      </w:pPr>
      <w:r w:rsidRPr="002B5196">
        <w:rPr>
          <w:rFonts w:ascii="Arial" w:hAnsi="Arial" w:cs="Arial"/>
          <w:bCs/>
          <w:sz w:val="24"/>
          <w:szCs w:val="24"/>
        </w:rPr>
        <w:t>Starbucks v</w:t>
      </w:r>
      <w:r w:rsidR="00EA2EDD">
        <w:rPr>
          <w:rFonts w:ascii="Arial" w:hAnsi="Arial" w:cs="Arial"/>
          <w:bCs/>
          <w:sz w:val="24"/>
          <w:szCs w:val="24"/>
        </w:rPr>
        <w:t>.</w:t>
      </w:r>
      <w:r w:rsidRPr="002B5196">
        <w:rPr>
          <w:rFonts w:ascii="Arial" w:hAnsi="Arial" w:cs="Arial"/>
          <w:bCs/>
          <w:sz w:val="24"/>
          <w:szCs w:val="24"/>
        </w:rPr>
        <w:t xml:space="preserve"> </w:t>
      </w:r>
      <w:proofErr w:type="spellStart"/>
      <w:r w:rsidRPr="002B5196">
        <w:rPr>
          <w:rFonts w:ascii="Arial" w:hAnsi="Arial" w:cs="Arial"/>
          <w:bCs/>
          <w:sz w:val="24"/>
          <w:szCs w:val="24"/>
        </w:rPr>
        <w:t>BskyB</w:t>
      </w:r>
      <w:proofErr w:type="spellEnd"/>
      <w:r w:rsidRPr="002B5196">
        <w:rPr>
          <w:rFonts w:ascii="Arial" w:hAnsi="Arial" w:cs="Arial"/>
          <w:bCs/>
          <w:sz w:val="24"/>
          <w:szCs w:val="24"/>
        </w:rPr>
        <w:t xml:space="preserve"> [2012] EWHC 3074</w:t>
      </w:r>
    </w:p>
    <w:p w:rsidR="00D91CD0" w:rsidRPr="002B5196" w:rsidRDefault="00D91CD0" w:rsidP="00704AC4">
      <w:pPr>
        <w:pStyle w:val="ListParagraph"/>
        <w:numPr>
          <w:ilvl w:val="0"/>
          <w:numId w:val="8"/>
        </w:numPr>
        <w:spacing w:line="480" w:lineRule="auto"/>
        <w:jc w:val="both"/>
        <w:rPr>
          <w:rFonts w:ascii="Arial" w:hAnsi="Arial" w:cs="Arial"/>
          <w:sz w:val="24"/>
          <w:szCs w:val="24"/>
        </w:rPr>
      </w:pPr>
      <w:r w:rsidRPr="002B5196">
        <w:rPr>
          <w:rFonts w:ascii="Arial" w:hAnsi="Arial" w:cs="Arial"/>
          <w:bCs/>
          <w:sz w:val="24"/>
          <w:szCs w:val="24"/>
        </w:rPr>
        <w:t>Tanzania Distilleries Limited Vs Vitamin foods (1989) Ltd [2000] TLR 15</w:t>
      </w:r>
    </w:p>
    <w:p w:rsidR="00D91CD0" w:rsidRPr="002B5196" w:rsidRDefault="00D91CD0" w:rsidP="00704AC4">
      <w:pPr>
        <w:pStyle w:val="ListParagraph"/>
        <w:numPr>
          <w:ilvl w:val="0"/>
          <w:numId w:val="8"/>
        </w:numPr>
        <w:spacing w:line="480" w:lineRule="auto"/>
        <w:jc w:val="both"/>
        <w:rPr>
          <w:rFonts w:ascii="Arial" w:hAnsi="Arial" w:cs="Arial"/>
          <w:sz w:val="24"/>
          <w:szCs w:val="24"/>
        </w:rPr>
      </w:pPr>
      <w:r w:rsidRPr="002B5196">
        <w:rPr>
          <w:rFonts w:ascii="Arial" w:hAnsi="Arial" w:cs="Arial"/>
          <w:bCs/>
          <w:sz w:val="24"/>
          <w:szCs w:val="24"/>
        </w:rPr>
        <w:t>Glaxo Group Limited Vs J.B. Chemicals &amp; Pharmaceuticals Ltd, High Court of Tanzania (Commercial Division), Misc. Case No. 3 of 2007 (Unreported)</w:t>
      </w:r>
    </w:p>
    <w:p w:rsidR="00D91CD0" w:rsidRPr="002B5196" w:rsidRDefault="00D91CD0" w:rsidP="00704AC4">
      <w:pPr>
        <w:pStyle w:val="ListParagraph"/>
        <w:numPr>
          <w:ilvl w:val="0"/>
          <w:numId w:val="8"/>
        </w:numPr>
        <w:spacing w:line="480" w:lineRule="auto"/>
        <w:jc w:val="both"/>
        <w:rPr>
          <w:rFonts w:ascii="Arial" w:hAnsi="Arial" w:cs="Arial"/>
          <w:sz w:val="24"/>
          <w:szCs w:val="24"/>
        </w:rPr>
      </w:pPr>
      <w:r w:rsidRPr="002B5196">
        <w:rPr>
          <w:rFonts w:ascii="Arial" w:hAnsi="Arial" w:cs="Arial"/>
          <w:bCs/>
          <w:sz w:val="24"/>
          <w:szCs w:val="24"/>
        </w:rPr>
        <w:lastRenderedPageBreak/>
        <w:t xml:space="preserve">Ultratech Cement Limited and </w:t>
      </w:r>
      <w:proofErr w:type="spellStart"/>
      <w:r w:rsidRPr="002B5196">
        <w:rPr>
          <w:rFonts w:ascii="Arial" w:hAnsi="Arial" w:cs="Arial"/>
          <w:bCs/>
          <w:sz w:val="24"/>
          <w:szCs w:val="24"/>
        </w:rPr>
        <w:t>Anr</w:t>
      </w:r>
      <w:proofErr w:type="spellEnd"/>
      <w:r w:rsidRPr="002B5196">
        <w:rPr>
          <w:rFonts w:ascii="Arial" w:hAnsi="Arial" w:cs="Arial"/>
          <w:bCs/>
          <w:sz w:val="24"/>
          <w:szCs w:val="24"/>
        </w:rPr>
        <w:t xml:space="preserve">. </w:t>
      </w:r>
      <w:proofErr w:type="spellStart"/>
      <w:r w:rsidR="00EA2EDD">
        <w:rPr>
          <w:rFonts w:ascii="Arial" w:hAnsi="Arial" w:cs="Arial"/>
          <w:bCs/>
          <w:sz w:val="24"/>
          <w:szCs w:val="24"/>
        </w:rPr>
        <w:t>Vss</w:t>
      </w:r>
      <w:r w:rsidRPr="002B5196">
        <w:rPr>
          <w:rFonts w:ascii="Arial" w:hAnsi="Arial" w:cs="Arial"/>
          <w:bCs/>
          <w:sz w:val="24"/>
          <w:szCs w:val="24"/>
        </w:rPr>
        <w:t>s</w:t>
      </w:r>
      <w:proofErr w:type="spellEnd"/>
      <w:r w:rsidRPr="002B5196">
        <w:rPr>
          <w:rFonts w:ascii="Arial" w:hAnsi="Arial" w:cs="Arial"/>
          <w:bCs/>
          <w:sz w:val="24"/>
          <w:szCs w:val="24"/>
        </w:rPr>
        <w:t>. Dalmia Cement Bharat Limited, No. 37 and 42 of 2014</w:t>
      </w:r>
    </w:p>
    <w:p w:rsidR="00D91CD0" w:rsidRPr="002B5196" w:rsidRDefault="00D91CD0" w:rsidP="00704AC4">
      <w:pPr>
        <w:pStyle w:val="ListParagraph"/>
        <w:numPr>
          <w:ilvl w:val="0"/>
          <w:numId w:val="8"/>
        </w:numPr>
        <w:spacing w:line="480" w:lineRule="auto"/>
        <w:jc w:val="both"/>
        <w:rPr>
          <w:rFonts w:ascii="Arial" w:hAnsi="Arial" w:cs="Arial"/>
          <w:sz w:val="24"/>
          <w:szCs w:val="24"/>
        </w:rPr>
      </w:pPr>
      <w:r w:rsidRPr="002B5196">
        <w:rPr>
          <w:rFonts w:ascii="Arial" w:hAnsi="Arial" w:cs="Arial"/>
          <w:bCs/>
          <w:sz w:val="24"/>
          <w:szCs w:val="24"/>
        </w:rPr>
        <w:t>Oakville Hills Cellar, Inc. V</w:t>
      </w:r>
      <w:r w:rsidR="00EA2EDD">
        <w:rPr>
          <w:rFonts w:ascii="Arial" w:hAnsi="Arial" w:cs="Arial"/>
          <w:bCs/>
          <w:sz w:val="24"/>
          <w:szCs w:val="24"/>
        </w:rPr>
        <w:t>s</w:t>
      </w:r>
      <w:r w:rsidRPr="002B5196">
        <w:rPr>
          <w:rFonts w:ascii="Arial" w:hAnsi="Arial" w:cs="Arial"/>
          <w:bCs/>
          <w:sz w:val="24"/>
          <w:szCs w:val="24"/>
        </w:rPr>
        <w:t xml:space="preserve">. </w:t>
      </w:r>
      <w:proofErr w:type="spellStart"/>
      <w:r w:rsidRPr="002B5196">
        <w:rPr>
          <w:rFonts w:ascii="Arial" w:hAnsi="Arial" w:cs="Arial"/>
          <w:bCs/>
          <w:sz w:val="24"/>
          <w:szCs w:val="24"/>
        </w:rPr>
        <w:t>Georgallis</w:t>
      </w:r>
      <w:proofErr w:type="spellEnd"/>
      <w:r w:rsidRPr="002B5196">
        <w:rPr>
          <w:rFonts w:ascii="Arial" w:hAnsi="Arial" w:cs="Arial"/>
          <w:bCs/>
          <w:sz w:val="24"/>
          <w:szCs w:val="24"/>
        </w:rPr>
        <w:t xml:space="preserve"> Holdings, LLC [2016-1103]</w:t>
      </w:r>
    </w:p>
    <w:p w:rsidR="00D91CD0" w:rsidRPr="002B5196" w:rsidRDefault="00D91CD0" w:rsidP="00704AC4">
      <w:pPr>
        <w:pStyle w:val="ListParagraph"/>
        <w:numPr>
          <w:ilvl w:val="0"/>
          <w:numId w:val="8"/>
        </w:numPr>
        <w:spacing w:line="480" w:lineRule="auto"/>
        <w:jc w:val="both"/>
        <w:rPr>
          <w:rFonts w:ascii="Arial" w:hAnsi="Arial" w:cs="Arial"/>
          <w:sz w:val="24"/>
          <w:szCs w:val="24"/>
        </w:rPr>
      </w:pPr>
      <w:r w:rsidRPr="002B5196">
        <w:rPr>
          <w:rFonts w:ascii="Arial" w:hAnsi="Arial" w:cs="Arial"/>
          <w:bCs/>
          <w:sz w:val="24"/>
          <w:szCs w:val="24"/>
        </w:rPr>
        <w:t xml:space="preserve">Registrar of Trademarks Vs. Ashok Chandra </w:t>
      </w:r>
      <w:proofErr w:type="spellStart"/>
      <w:r w:rsidRPr="002B5196">
        <w:rPr>
          <w:rFonts w:ascii="Arial" w:hAnsi="Arial" w:cs="Arial"/>
          <w:bCs/>
          <w:sz w:val="24"/>
          <w:szCs w:val="24"/>
        </w:rPr>
        <w:t>Rakhit</w:t>
      </w:r>
      <w:proofErr w:type="spellEnd"/>
      <w:r w:rsidRPr="002B5196">
        <w:rPr>
          <w:rFonts w:ascii="Arial" w:hAnsi="Arial" w:cs="Arial"/>
          <w:bCs/>
          <w:sz w:val="24"/>
          <w:szCs w:val="24"/>
        </w:rPr>
        <w:t xml:space="preserve"> Ltd.</w:t>
      </w:r>
      <w:r w:rsidRPr="002B5196">
        <w:rPr>
          <w:rFonts w:ascii="Arial" w:hAnsi="Arial" w:cs="Arial"/>
          <w:sz w:val="24"/>
          <w:szCs w:val="24"/>
        </w:rPr>
        <w:t xml:space="preserve">, </w:t>
      </w:r>
      <w:r w:rsidRPr="002B5196">
        <w:rPr>
          <w:rFonts w:ascii="Arial" w:hAnsi="Arial" w:cs="Arial"/>
          <w:bCs/>
          <w:sz w:val="24"/>
          <w:szCs w:val="24"/>
        </w:rPr>
        <w:t xml:space="preserve">Glaxo Group Ltd. &amp; </w:t>
      </w:r>
      <w:proofErr w:type="spellStart"/>
      <w:r w:rsidRPr="002B5196">
        <w:rPr>
          <w:rFonts w:ascii="Arial" w:hAnsi="Arial" w:cs="Arial"/>
          <w:bCs/>
          <w:sz w:val="24"/>
          <w:szCs w:val="24"/>
        </w:rPr>
        <w:t>Anr</w:t>
      </w:r>
      <w:proofErr w:type="spellEnd"/>
      <w:r w:rsidRPr="002B5196">
        <w:rPr>
          <w:rFonts w:ascii="Arial" w:hAnsi="Arial" w:cs="Arial"/>
          <w:bCs/>
          <w:sz w:val="24"/>
          <w:szCs w:val="24"/>
        </w:rPr>
        <w:t xml:space="preserve">. V. Sunlife Sciences Pvt. Ltd. </w:t>
      </w:r>
      <w:r w:rsidRPr="002B5196">
        <w:rPr>
          <w:rFonts w:ascii="Arial" w:hAnsi="Arial" w:cs="Arial"/>
          <w:sz w:val="24"/>
          <w:szCs w:val="24"/>
        </w:rPr>
        <w:t xml:space="preserve">and </w:t>
      </w:r>
      <w:r w:rsidRPr="002B5196">
        <w:rPr>
          <w:rFonts w:ascii="Arial" w:hAnsi="Arial" w:cs="Arial"/>
          <w:bCs/>
          <w:sz w:val="24"/>
          <w:szCs w:val="24"/>
        </w:rPr>
        <w:t xml:space="preserve">Aravind Laboratories Vs. </w:t>
      </w:r>
      <w:proofErr w:type="spellStart"/>
      <w:r w:rsidRPr="002B5196">
        <w:rPr>
          <w:rFonts w:ascii="Arial" w:hAnsi="Arial" w:cs="Arial"/>
          <w:bCs/>
          <w:sz w:val="24"/>
          <w:szCs w:val="24"/>
        </w:rPr>
        <w:t>Modicare</w:t>
      </w:r>
      <w:proofErr w:type="spellEnd"/>
      <w:r w:rsidRPr="002B5196">
        <w:rPr>
          <w:rFonts w:ascii="Arial" w:hAnsi="Arial" w:cs="Arial"/>
          <w:bCs/>
          <w:sz w:val="24"/>
          <w:szCs w:val="24"/>
        </w:rPr>
        <w:t xml:space="preserve"> [2011].</w:t>
      </w:r>
    </w:p>
    <w:p w:rsidR="00D91CD0" w:rsidRPr="002B5196" w:rsidRDefault="00D91CD0" w:rsidP="00704AC4">
      <w:pPr>
        <w:pStyle w:val="ListParagraph"/>
        <w:numPr>
          <w:ilvl w:val="0"/>
          <w:numId w:val="8"/>
        </w:numPr>
        <w:spacing w:line="480" w:lineRule="auto"/>
        <w:jc w:val="both"/>
        <w:rPr>
          <w:rFonts w:ascii="Arial" w:hAnsi="Arial" w:cs="Arial"/>
          <w:sz w:val="24"/>
          <w:szCs w:val="24"/>
        </w:rPr>
      </w:pPr>
      <w:r w:rsidRPr="002B5196">
        <w:rPr>
          <w:rFonts w:ascii="Arial" w:hAnsi="Arial" w:cs="Arial"/>
          <w:bCs/>
          <w:sz w:val="24"/>
          <w:szCs w:val="24"/>
        </w:rPr>
        <w:t>Double Diamonds Holdings Limited V. East African Spirits (T) Limited</w:t>
      </w:r>
    </w:p>
    <w:p w:rsidR="00D91CD0" w:rsidRPr="002B5196" w:rsidRDefault="00D91CD0" w:rsidP="00704AC4">
      <w:pPr>
        <w:pStyle w:val="ListParagraph"/>
        <w:numPr>
          <w:ilvl w:val="0"/>
          <w:numId w:val="8"/>
        </w:numPr>
        <w:spacing w:line="480" w:lineRule="auto"/>
        <w:jc w:val="both"/>
        <w:rPr>
          <w:rFonts w:ascii="Arial" w:hAnsi="Arial" w:cs="Arial"/>
          <w:sz w:val="24"/>
          <w:szCs w:val="24"/>
        </w:rPr>
      </w:pPr>
      <w:proofErr w:type="spellStart"/>
      <w:r w:rsidRPr="002B5196">
        <w:rPr>
          <w:rStyle w:val="FontStyle44"/>
          <w:rFonts w:ascii="Arial" w:hAnsi="Arial" w:cs="Arial"/>
          <w:b w:val="0"/>
          <w:bCs w:val="0"/>
          <w:i/>
          <w:sz w:val="24"/>
          <w:szCs w:val="24"/>
        </w:rPr>
        <w:t>Compania</w:t>
      </w:r>
      <w:proofErr w:type="spellEnd"/>
      <w:r w:rsidRPr="002B5196">
        <w:rPr>
          <w:rStyle w:val="FontStyle44"/>
          <w:rFonts w:ascii="Arial" w:hAnsi="Arial" w:cs="Arial"/>
          <w:b w:val="0"/>
          <w:bCs w:val="0"/>
          <w:i/>
          <w:sz w:val="24"/>
          <w:szCs w:val="24"/>
        </w:rPr>
        <w:t xml:space="preserve"> </w:t>
      </w:r>
      <w:proofErr w:type="spellStart"/>
      <w:r w:rsidRPr="002B5196">
        <w:rPr>
          <w:rStyle w:val="FontStyle44"/>
          <w:rFonts w:ascii="Arial" w:hAnsi="Arial" w:cs="Arial"/>
          <w:b w:val="0"/>
          <w:bCs w:val="0"/>
          <w:i/>
          <w:sz w:val="24"/>
          <w:szCs w:val="24"/>
        </w:rPr>
        <w:t>Licorera</w:t>
      </w:r>
      <w:proofErr w:type="spellEnd"/>
      <w:r w:rsidRPr="002B5196">
        <w:rPr>
          <w:rStyle w:val="FontStyle44"/>
          <w:rFonts w:ascii="Arial" w:hAnsi="Arial" w:cs="Arial"/>
          <w:b w:val="0"/>
          <w:bCs w:val="0"/>
          <w:i/>
          <w:sz w:val="24"/>
          <w:szCs w:val="24"/>
        </w:rPr>
        <w:t xml:space="preserve"> de </w:t>
      </w:r>
      <w:proofErr w:type="spellStart"/>
      <w:r w:rsidRPr="002B5196">
        <w:rPr>
          <w:rStyle w:val="FontStyle44"/>
          <w:rFonts w:ascii="Arial" w:hAnsi="Arial" w:cs="Arial"/>
          <w:b w:val="0"/>
          <w:bCs w:val="0"/>
          <w:i/>
          <w:sz w:val="24"/>
          <w:szCs w:val="24"/>
        </w:rPr>
        <w:t>Centroamerica</w:t>
      </w:r>
      <w:proofErr w:type="spellEnd"/>
      <w:r w:rsidRPr="002B5196">
        <w:rPr>
          <w:rStyle w:val="FontStyle44"/>
          <w:rFonts w:ascii="Arial" w:hAnsi="Arial" w:cs="Arial"/>
          <w:b w:val="0"/>
          <w:bCs w:val="0"/>
          <w:i/>
          <w:sz w:val="24"/>
          <w:szCs w:val="24"/>
        </w:rPr>
        <w:t>, SA Vs. Mohan’s Oysterbay Drinks Limited &amp; another</w:t>
      </w:r>
      <w:r w:rsidRPr="002B5196">
        <w:rPr>
          <w:rFonts w:ascii="Arial" w:hAnsi="Arial" w:cs="Arial"/>
          <w:i/>
          <w:sz w:val="24"/>
          <w:szCs w:val="24"/>
        </w:rPr>
        <w:t>,</w:t>
      </w:r>
    </w:p>
    <w:p w:rsidR="00D91CD0" w:rsidRPr="002B5196" w:rsidRDefault="00D91CD0" w:rsidP="00D91CD0">
      <w:pPr>
        <w:spacing w:line="480" w:lineRule="auto"/>
        <w:ind w:left="360"/>
        <w:jc w:val="both"/>
        <w:rPr>
          <w:rFonts w:ascii="Arial" w:hAnsi="Arial" w:cs="Arial"/>
          <w:b/>
          <w:sz w:val="24"/>
          <w:szCs w:val="24"/>
        </w:rPr>
      </w:pPr>
      <w:r w:rsidRPr="002B5196">
        <w:rPr>
          <w:rFonts w:ascii="Arial" w:hAnsi="Arial" w:cs="Arial"/>
          <w:b/>
          <w:sz w:val="24"/>
          <w:szCs w:val="24"/>
        </w:rPr>
        <w:t>LAWS</w:t>
      </w:r>
      <w:r w:rsidR="00645733" w:rsidRPr="002B5196">
        <w:rPr>
          <w:rFonts w:ascii="Arial" w:hAnsi="Arial" w:cs="Arial"/>
          <w:b/>
          <w:sz w:val="24"/>
          <w:szCs w:val="24"/>
        </w:rPr>
        <w:t>, REGULATIONS AND TREATIES</w:t>
      </w:r>
    </w:p>
    <w:p w:rsidR="00D91CD0" w:rsidRPr="002B5196" w:rsidRDefault="00D91CD0" w:rsidP="00645733">
      <w:pPr>
        <w:pStyle w:val="ListParagraph"/>
        <w:numPr>
          <w:ilvl w:val="0"/>
          <w:numId w:val="5"/>
        </w:numPr>
        <w:spacing w:line="480" w:lineRule="auto"/>
        <w:jc w:val="both"/>
        <w:rPr>
          <w:rFonts w:ascii="Arial" w:hAnsi="Arial" w:cs="Arial"/>
          <w:sz w:val="24"/>
          <w:szCs w:val="24"/>
        </w:rPr>
      </w:pPr>
      <w:r w:rsidRPr="002B5196">
        <w:rPr>
          <w:rFonts w:ascii="Arial" w:hAnsi="Arial" w:cs="Arial"/>
          <w:sz w:val="24"/>
          <w:szCs w:val="24"/>
        </w:rPr>
        <w:t>The Trade and Service Marks Act, Cap 326 [R</w:t>
      </w:r>
      <w:r w:rsidR="00EA2EDD">
        <w:rPr>
          <w:rFonts w:ascii="Arial" w:hAnsi="Arial" w:cs="Arial"/>
          <w:sz w:val="24"/>
          <w:szCs w:val="24"/>
        </w:rPr>
        <w:t>.</w:t>
      </w:r>
      <w:r w:rsidRPr="002B5196">
        <w:rPr>
          <w:rFonts w:ascii="Arial" w:hAnsi="Arial" w:cs="Arial"/>
          <w:sz w:val="24"/>
          <w:szCs w:val="24"/>
        </w:rPr>
        <w:t>E</w:t>
      </w:r>
      <w:r w:rsidR="00EA2EDD">
        <w:rPr>
          <w:rFonts w:ascii="Arial" w:hAnsi="Arial" w:cs="Arial"/>
          <w:sz w:val="24"/>
          <w:szCs w:val="24"/>
        </w:rPr>
        <w:t>.</w:t>
      </w:r>
      <w:r w:rsidRPr="002B5196">
        <w:rPr>
          <w:rFonts w:ascii="Arial" w:hAnsi="Arial" w:cs="Arial"/>
          <w:sz w:val="24"/>
          <w:szCs w:val="24"/>
        </w:rPr>
        <w:t xml:space="preserve"> 2002]</w:t>
      </w:r>
    </w:p>
    <w:p w:rsidR="00D91CD0" w:rsidRPr="002B5196" w:rsidRDefault="00D91CD0" w:rsidP="00D91CD0">
      <w:pPr>
        <w:pStyle w:val="ListParagraph"/>
        <w:numPr>
          <w:ilvl w:val="0"/>
          <w:numId w:val="5"/>
        </w:numPr>
        <w:spacing w:line="480" w:lineRule="auto"/>
        <w:jc w:val="both"/>
        <w:rPr>
          <w:rFonts w:ascii="Arial" w:hAnsi="Arial" w:cs="Arial"/>
          <w:sz w:val="24"/>
          <w:szCs w:val="24"/>
        </w:rPr>
      </w:pPr>
      <w:r w:rsidRPr="002B5196">
        <w:rPr>
          <w:rFonts w:ascii="Arial" w:hAnsi="Arial" w:cs="Arial"/>
          <w:sz w:val="24"/>
          <w:szCs w:val="24"/>
        </w:rPr>
        <w:t>The Trade and Service Marks Regulations, 2000</w:t>
      </w:r>
      <w:r w:rsidR="00EA2EDD">
        <w:rPr>
          <w:rFonts w:ascii="Arial" w:hAnsi="Arial" w:cs="Arial"/>
          <w:sz w:val="24"/>
          <w:szCs w:val="24"/>
        </w:rPr>
        <w:t>.</w:t>
      </w:r>
    </w:p>
    <w:p w:rsidR="00D91CD0" w:rsidRPr="002B5196" w:rsidRDefault="00D91CD0" w:rsidP="00D91CD0">
      <w:pPr>
        <w:pStyle w:val="ListParagraph"/>
        <w:numPr>
          <w:ilvl w:val="0"/>
          <w:numId w:val="5"/>
        </w:numPr>
        <w:spacing w:line="480" w:lineRule="auto"/>
        <w:jc w:val="both"/>
        <w:rPr>
          <w:rFonts w:ascii="Arial" w:hAnsi="Arial" w:cs="Arial"/>
          <w:sz w:val="24"/>
          <w:szCs w:val="24"/>
        </w:rPr>
      </w:pPr>
      <w:r w:rsidRPr="002B5196">
        <w:rPr>
          <w:rFonts w:ascii="Arial" w:hAnsi="Arial" w:cs="Arial"/>
          <w:sz w:val="24"/>
          <w:szCs w:val="24"/>
        </w:rPr>
        <w:t>Trade Related Aspects of Intellectual Property (TRIPS</w:t>
      </w:r>
      <w:r w:rsidR="00EA2EDD">
        <w:rPr>
          <w:rFonts w:ascii="Arial" w:hAnsi="Arial" w:cs="Arial"/>
          <w:sz w:val="24"/>
          <w:szCs w:val="24"/>
        </w:rPr>
        <w:t>)</w:t>
      </w:r>
      <w:r w:rsidRPr="002B5196">
        <w:rPr>
          <w:rFonts w:ascii="Arial" w:hAnsi="Arial" w:cs="Arial"/>
          <w:sz w:val="24"/>
          <w:szCs w:val="24"/>
        </w:rPr>
        <w:t xml:space="preserve"> Agreement</w:t>
      </w:r>
      <w:r w:rsidR="00EA2EDD">
        <w:rPr>
          <w:rFonts w:ascii="Arial" w:hAnsi="Arial" w:cs="Arial"/>
          <w:sz w:val="24"/>
          <w:szCs w:val="24"/>
        </w:rPr>
        <w:t xml:space="preserve"> of 1994.</w:t>
      </w:r>
    </w:p>
    <w:p w:rsidR="003361D9" w:rsidRPr="002B5196" w:rsidRDefault="00D91CD0" w:rsidP="006758B3">
      <w:pPr>
        <w:pStyle w:val="ListParagraph"/>
        <w:numPr>
          <w:ilvl w:val="0"/>
          <w:numId w:val="5"/>
        </w:numPr>
        <w:spacing w:line="480" w:lineRule="auto"/>
        <w:jc w:val="both"/>
        <w:rPr>
          <w:rFonts w:ascii="Arial" w:hAnsi="Arial" w:cs="Arial"/>
          <w:sz w:val="24"/>
          <w:szCs w:val="24"/>
        </w:rPr>
      </w:pPr>
      <w:r w:rsidRPr="002B5196">
        <w:rPr>
          <w:rFonts w:ascii="Arial" w:hAnsi="Arial" w:cs="Arial"/>
          <w:sz w:val="24"/>
          <w:szCs w:val="24"/>
        </w:rPr>
        <w:t>Paris Convention</w:t>
      </w:r>
      <w:r w:rsidR="00EA2EDD">
        <w:rPr>
          <w:rFonts w:ascii="Arial" w:hAnsi="Arial" w:cs="Arial"/>
          <w:sz w:val="24"/>
          <w:szCs w:val="24"/>
        </w:rPr>
        <w:t xml:space="preserve"> </w:t>
      </w:r>
      <w:r w:rsidR="004E5175">
        <w:rPr>
          <w:rFonts w:ascii="Arial" w:hAnsi="Arial" w:cs="Arial"/>
          <w:sz w:val="24"/>
          <w:szCs w:val="24"/>
        </w:rPr>
        <w:t>for the Protection of</w:t>
      </w:r>
      <w:bookmarkStart w:id="0" w:name="_GoBack"/>
      <w:bookmarkEnd w:id="0"/>
      <w:r w:rsidR="00EA2EDD">
        <w:rPr>
          <w:rFonts w:ascii="Arial" w:hAnsi="Arial" w:cs="Arial"/>
          <w:sz w:val="24"/>
          <w:szCs w:val="24"/>
        </w:rPr>
        <w:t xml:space="preserve"> Industrial Property of 1883, as amended.</w:t>
      </w:r>
    </w:p>
    <w:sectPr w:rsidR="003361D9" w:rsidRPr="002B519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79A" w:rsidRDefault="009A679A" w:rsidP="00B57640">
      <w:pPr>
        <w:spacing w:after="0" w:line="240" w:lineRule="auto"/>
      </w:pPr>
      <w:r>
        <w:separator/>
      </w:r>
    </w:p>
  </w:endnote>
  <w:endnote w:type="continuationSeparator" w:id="0">
    <w:p w:rsidR="009A679A" w:rsidRDefault="009A679A" w:rsidP="00B57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441108"/>
      <w:docPartObj>
        <w:docPartGallery w:val="Page Numbers (Bottom of Page)"/>
        <w:docPartUnique/>
      </w:docPartObj>
    </w:sdtPr>
    <w:sdtEndPr>
      <w:rPr>
        <w:noProof/>
      </w:rPr>
    </w:sdtEndPr>
    <w:sdtContent>
      <w:p w:rsidR="00B57640" w:rsidRDefault="00B576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57640" w:rsidRDefault="00B57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79A" w:rsidRDefault="009A679A" w:rsidP="00B57640">
      <w:pPr>
        <w:spacing w:after="0" w:line="240" w:lineRule="auto"/>
      </w:pPr>
      <w:r>
        <w:separator/>
      </w:r>
    </w:p>
  </w:footnote>
  <w:footnote w:type="continuationSeparator" w:id="0">
    <w:p w:rsidR="009A679A" w:rsidRDefault="009A679A" w:rsidP="00B57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3D82"/>
    <w:multiLevelType w:val="hybridMultilevel"/>
    <w:tmpl w:val="30081E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B900A4"/>
    <w:multiLevelType w:val="hybridMultilevel"/>
    <w:tmpl w:val="0332EC48"/>
    <w:lvl w:ilvl="0" w:tplc="2A36C11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D24210"/>
    <w:multiLevelType w:val="hybridMultilevel"/>
    <w:tmpl w:val="DF4E7012"/>
    <w:lvl w:ilvl="0" w:tplc="F746CDC6">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CF64C2D"/>
    <w:multiLevelType w:val="hybridMultilevel"/>
    <w:tmpl w:val="1BCA7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5061A9"/>
    <w:multiLevelType w:val="hybridMultilevel"/>
    <w:tmpl w:val="071AE7D4"/>
    <w:lvl w:ilvl="0" w:tplc="69DEF4AE">
      <w:start w:val="1"/>
      <w:numFmt w:val="lowerRoman"/>
      <w:lvlText w:val="%1."/>
      <w:lvlJc w:val="left"/>
      <w:pPr>
        <w:ind w:left="1080" w:hanging="72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A81421"/>
    <w:multiLevelType w:val="hybridMultilevel"/>
    <w:tmpl w:val="F85454E2"/>
    <w:lvl w:ilvl="0" w:tplc="FDD432B2">
      <w:start w:val="1"/>
      <w:numFmt w:val="lowerRoman"/>
      <w:lvlText w:val="%1."/>
      <w:lvlJc w:val="left"/>
      <w:pPr>
        <w:ind w:left="1080" w:hanging="72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771D23"/>
    <w:multiLevelType w:val="hybridMultilevel"/>
    <w:tmpl w:val="4DD417AA"/>
    <w:lvl w:ilvl="0" w:tplc="1C0ECD72">
      <w:start w:val="1"/>
      <w:numFmt w:val="lowerRoman"/>
      <w:lvlText w:val="%1."/>
      <w:lvlJc w:val="left"/>
      <w:pPr>
        <w:ind w:left="720" w:hanging="360"/>
      </w:pPr>
      <w:rPr>
        <w:rFonts w:ascii="Arial" w:eastAsiaTheme="minorHAnsi"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C675A27"/>
    <w:multiLevelType w:val="hybridMultilevel"/>
    <w:tmpl w:val="88EC53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D9"/>
    <w:rsid w:val="00015F75"/>
    <w:rsid w:val="00085F6F"/>
    <w:rsid w:val="002A064D"/>
    <w:rsid w:val="002B5196"/>
    <w:rsid w:val="003361D9"/>
    <w:rsid w:val="00487FF5"/>
    <w:rsid w:val="004E5175"/>
    <w:rsid w:val="005F4572"/>
    <w:rsid w:val="00623554"/>
    <w:rsid w:val="00645733"/>
    <w:rsid w:val="006758B3"/>
    <w:rsid w:val="00704AC4"/>
    <w:rsid w:val="009A679A"/>
    <w:rsid w:val="009B15D1"/>
    <w:rsid w:val="009D0072"/>
    <w:rsid w:val="00A44E04"/>
    <w:rsid w:val="00B57640"/>
    <w:rsid w:val="00CB4C23"/>
    <w:rsid w:val="00D91CD0"/>
    <w:rsid w:val="00EA2EDD"/>
    <w:rsid w:val="00EA6495"/>
    <w:rsid w:val="00F37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4403"/>
  <w15:chartTrackingRefBased/>
  <w15:docId w15:val="{AD7DE5DA-764B-4D10-BB43-AFBF5724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1D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1D9"/>
    <w:pPr>
      <w:ind w:left="720"/>
      <w:contextualSpacing/>
    </w:pPr>
  </w:style>
  <w:style w:type="character" w:customStyle="1" w:styleId="FontStyle44">
    <w:name w:val="Font Style44"/>
    <w:uiPriority w:val="99"/>
    <w:rsid w:val="00D91CD0"/>
    <w:rPr>
      <w:b/>
      <w:bCs/>
      <w:sz w:val="20"/>
      <w:szCs w:val="20"/>
      <w:lang w:val="en-US"/>
    </w:rPr>
  </w:style>
  <w:style w:type="paragraph" w:styleId="Header">
    <w:name w:val="header"/>
    <w:basedOn w:val="Normal"/>
    <w:link w:val="HeaderChar"/>
    <w:uiPriority w:val="99"/>
    <w:unhideWhenUsed/>
    <w:rsid w:val="00B576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640"/>
  </w:style>
  <w:style w:type="paragraph" w:styleId="Footer">
    <w:name w:val="footer"/>
    <w:basedOn w:val="Normal"/>
    <w:link w:val="FooterChar"/>
    <w:uiPriority w:val="99"/>
    <w:unhideWhenUsed/>
    <w:rsid w:val="00B57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2036">
      <w:bodyDiv w:val="1"/>
      <w:marLeft w:val="0"/>
      <w:marRight w:val="0"/>
      <w:marTop w:val="0"/>
      <w:marBottom w:val="0"/>
      <w:divBdr>
        <w:top w:val="none" w:sz="0" w:space="0" w:color="auto"/>
        <w:left w:val="none" w:sz="0" w:space="0" w:color="auto"/>
        <w:bottom w:val="none" w:sz="0" w:space="0" w:color="auto"/>
        <w:right w:val="none" w:sz="0" w:space="0" w:color="auto"/>
      </w:divBdr>
    </w:div>
    <w:div w:id="123043188">
      <w:bodyDiv w:val="1"/>
      <w:marLeft w:val="0"/>
      <w:marRight w:val="0"/>
      <w:marTop w:val="0"/>
      <w:marBottom w:val="0"/>
      <w:divBdr>
        <w:top w:val="none" w:sz="0" w:space="0" w:color="auto"/>
        <w:left w:val="none" w:sz="0" w:space="0" w:color="auto"/>
        <w:bottom w:val="none" w:sz="0" w:space="0" w:color="auto"/>
        <w:right w:val="none" w:sz="0" w:space="0" w:color="auto"/>
      </w:divBdr>
    </w:div>
    <w:div w:id="130490619">
      <w:bodyDiv w:val="1"/>
      <w:marLeft w:val="0"/>
      <w:marRight w:val="0"/>
      <w:marTop w:val="0"/>
      <w:marBottom w:val="0"/>
      <w:divBdr>
        <w:top w:val="none" w:sz="0" w:space="0" w:color="auto"/>
        <w:left w:val="none" w:sz="0" w:space="0" w:color="auto"/>
        <w:bottom w:val="none" w:sz="0" w:space="0" w:color="auto"/>
        <w:right w:val="none" w:sz="0" w:space="0" w:color="auto"/>
      </w:divBdr>
    </w:div>
    <w:div w:id="478765116">
      <w:bodyDiv w:val="1"/>
      <w:marLeft w:val="0"/>
      <w:marRight w:val="0"/>
      <w:marTop w:val="0"/>
      <w:marBottom w:val="0"/>
      <w:divBdr>
        <w:top w:val="none" w:sz="0" w:space="0" w:color="auto"/>
        <w:left w:val="none" w:sz="0" w:space="0" w:color="auto"/>
        <w:bottom w:val="none" w:sz="0" w:space="0" w:color="auto"/>
        <w:right w:val="none" w:sz="0" w:space="0" w:color="auto"/>
      </w:divBdr>
    </w:div>
    <w:div w:id="533691180">
      <w:bodyDiv w:val="1"/>
      <w:marLeft w:val="0"/>
      <w:marRight w:val="0"/>
      <w:marTop w:val="0"/>
      <w:marBottom w:val="0"/>
      <w:divBdr>
        <w:top w:val="none" w:sz="0" w:space="0" w:color="auto"/>
        <w:left w:val="none" w:sz="0" w:space="0" w:color="auto"/>
        <w:bottom w:val="none" w:sz="0" w:space="0" w:color="auto"/>
        <w:right w:val="none" w:sz="0" w:space="0" w:color="auto"/>
      </w:divBdr>
    </w:div>
    <w:div w:id="862551828">
      <w:bodyDiv w:val="1"/>
      <w:marLeft w:val="0"/>
      <w:marRight w:val="0"/>
      <w:marTop w:val="0"/>
      <w:marBottom w:val="0"/>
      <w:divBdr>
        <w:top w:val="none" w:sz="0" w:space="0" w:color="auto"/>
        <w:left w:val="none" w:sz="0" w:space="0" w:color="auto"/>
        <w:bottom w:val="none" w:sz="0" w:space="0" w:color="auto"/>
        <w:right w:val="none" w:sz="0" w:space="0" w:color="auto"/>
      </w:divBdr>
    </w:div>
    <w:div w:id="1008754399">
      <w:bodyDiv w:val="1"/>
      <w:marLeft w:val="0"/>
      <w:marRight w:val="0"/>
      <w:marTop w:val="0"/>
      <w:marBottom w:val="0"/>
      <w:divBdr>
        <w:top w:val="none" w:sz="0" w:space="0" w:color="auto"/>
        <w:left w:val="none" w:sz="0" w:space="0" w:color="auto"/>
        <w:bottom w:val="none" w:sz="0" w:space="0" w:color="auto"/>
        <w:right w:val="none" w:sz="0" w:space="0" w:color="auto"/>
      </w:divBdr>
    </w:div>
    <w:div w:id="1134446471">
      <w:bodyDiv w:val="1"/>
      <w:marLeft w:val="0"/>
      <w:marRight w:val="0"/>
      <w:marTop w:val="0"/>
      <w:marBottom w:val="0"/>
      <w:divBdr>
        <w:top w:val="none" w:sz="0" w:space="0" w:color="auto"/>
        <w:left w:val="none" w:sz="0" w:space="0" w:color="auto"/>
        <w:bottom w:val="none" w:sz="0" w:space="0" w:color="auto"/>
        <w:right w:val="none" w:sz="0" w:space="0" w:color="auto"/>
      </w:divBdr>
    </w:div>
    <w:div w:id="1220897467">
      <w:bodyDiv w:val="1"/>
      <w:marLeft w:val="0"/>
      <w:marRight w:val="0"/>
      <w:marTop w:val="0"/>
      <w:marBottom w:val="0"/>
      <w:divBdr>
        <w:top w:val="none" w:sz="0" w:space="0" w:color="auto"/>
        <w:left w:val="none" w:sz="0" w:space="0" w:color="auto"/>
        <w:bottom w:val="none" w:sz="0" w:space="0" w:color="auto"/>
        <w:right w:val="none" w:sz="0" w:space="0" w:color="auto"/>
      </w:divBdr>
    </w:div>
    <w:div w:id="1313828867">
      <w:bodyDiv w:val="1"/>
      <w:marLeft w:val="0"/>
      <w:marRight w:val="0"/>
      <w:marTop w:val="0"/>
      <w:marBottom w:val="0"/>
      <w:divBdr>
        <w:top w:val="none" w:sz="0" w:space="0" w:color="auto"/>
        <w:left w:val="none" w:sz="0" w:space="0" w:color="auto"/>
        <w:bottom w:val="none" w:sz="0" w:space="0" w:color="auto"/>
        <w:right w:val="none" w:sz="0" w:space="0" w:color="auto"/>
      </w:divBdr>
    </w:div>
    <w:div w:id="1316763731">
      <w:bodyDiv w:val="1"/>
      <w:marLeft w:val="0"/>
      <w:marRight w:val="0"/>
      <w:marTop w:val="0"/>
      <w:marBottom w:val="0"/>
      <w:divBdr>
        <w:top w:val="none" w:sz="0" w:space="0" w:color="auto"/>
        <w:left w:val="none" w:sz="0" w:space="0" w:color="auto"/>
        <w:bottom w:val="none" w:sz="0" w:space="0" w:color="auto"/>
        <w:right w:val="none" w:sz="0" w:space="0" w:color="auto"/>
      </w:divBdr>
    </w:div>
    <w:div w:id="1801070923">
      <w:bodyDiv w:val="1"/>
      <w:marLeft w:val="0"/>
      <w:marRight w:val="0"/>
      <w:marTop w:val="0"/>
      <w:marBottom w:val="0"/>
      <w:divBdr>
        <w:top w:val="none" w:sz="0" w:space="0" w:color="auto"/>
        <w:left w:val="none" w:sz="0" w:space="0" w:color="auto"/>
        <w:bottom w:val="none" w:sz="0" w:space="0" w:color="auto"/>
        <w:right w:val="none" w:sz="0" w:space="0" w:color="auto"/>
      </w:divBdr>
    </w:div>
    <w:div w:id="20523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Umoti</dc:creator>
  <cp:keywords/>
  <dc:description/>
  <cp:lastModifiedBy>Loy Mhando</cp:lastModifiedBy>
  <cp:revision>5</cp:revision>
  <dcterms:created xsi:type="dcterms:W3CDTF">2024-04-12T18:30:00Z</dcterms:created>
  <dcterms:modified xsi:type="dcterms:W3CDTF">2024-04-12T20:19:00Z</dcterms:modified>
</cp:coreProperties>
</file>